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04A" w:rsidRDefault="007B3057" w:rsidP="007B3057">
      <w:pPr>
        <w:spacing w:after="0" w:line="240" w:lineRule="auto"/>
        <w:jc w:val="center"/>
        <w:rPr>
          <w:b/>
        </w:rPr>
      </w:pPr>
      <w:r>
        <w:rPr>
          <w:b/>
        </w:rPr>
        <w:t>WYKAZ ZOBOWIĄZAŃ KREDYTOWYCH, LEASINGOWYCH NA DZIEŃ 30.09.2018 R.</w:t>
      </w:r>
    </w:p>
    <w:tbl>
      <w:tblPr>
        <w:tblStyle w:val="Tabela-Siatka"/>
        <w:tblpPr w:leftFromText="141" w:rightFromText="141" w:vertAnchor="page" w:horzAnchor="margin" w:tblpXSpec="center" w:tblpY="1861"/>
        <w:tblW w:w="10456" w:type="dxa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850"/>
        <w:gridCol w:w="1276"/>
        <w:gridCol w:w="1559"/>
        <w:gridCol w:w="1418"/>
        <w:gridCol w:w="2693"/>
      </w:tblGrid>
      <w:tr w:rsidR="007B3057" w:rsidRPr="00E941F1" w:rsidTr="007B3057">
        <w:tc>
          <w:tcPr>
            <w:tcW w:w="1384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Nazwa instytucji finansowej (dla obligacji kolumna nie ma zastosowania)</w:t>
            </w:r>
          </w:p>
        </w:tc>
        <w:tc>
          <w:tcPr>
            <w:tcW w:w="1276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Nazwa/rodzaj produktu</w:t>
            </w:r>
          </w:p>
        </w:tc>
        <w:tc>
          <w:tcPr>
            <w:tcW w:w="850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Waluta (dla linii waluta limitu)</w:t>
            </w:r>
          </w:p>
        </w:tc>
        <w:tc>
          <w:tcPr>
            <w:tcW w:w="1276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Limit (w tys.), dotyczy produktów odnawialnych</w:t>
            </w:r>
          </w:p>
        </w:tc>
        <w:tc>
          <w:tcPr>
            <w:tcW w:w="1559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Kwota pozostała do spłaty, w tym kwoty nieuruchomione (w tys.) dotyczy produktów nieodnawialnych</w:t>
            </w:r>
          </w:p>
        </w:tc>
        <w:tc>
          <w:tcPr>
            <w:tcW w:w="1418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 xml:space="preserve">Ostateczny termin spłaty/ obowiązywania produktu (mm- </w:t>
            </w:r>
            <w:proofErr w:type="spellStart"/>
            <w:r w:rsidRPr="00E237E8">
              <w:rPr>
                <w:rFonts w:cstheme="minorHAnsi"/>
                <w:b/>
                <w:sz w:val="18"/>
                <w:szCs w:val="18"/>
              </w:rPr>
              <w:t>rrrr</w:t>
            </w:r>
            <w:proofErr w:type="spellEnd"/>
            <w:r w:rsidRPr="00E237E8">
              <w:rPr>
                <w:rFonts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Zabezpieczenia (rodzaj i szacunkowa wartość rynkowa w tys. PLN z wyceny/ księgowa/ z ubezpieczenia, np. nieruchomość 1000, maszyny 2000)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NFOŚIGW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pożyczka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1274,7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12-2025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weksel własny in blanco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NFOŚIGW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pożyczka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15876,0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12-2025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weksel własny in blanco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WFOŚIGW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pożyczka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296,8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02-2024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przelew wierzytelności 627000,00 z rachunku lokaty terminowej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BOŚ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kredyt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492,0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12-2022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 xml:space="preserve">weksel in blanco, </w:t>
            </w:r>
            <w:r>
              <w:t xml:space="preserve"> </w:t>
            </w:r>
            <w:r w:rsidRPr="00762244">
              <w:rPr>
                <w:rFonts w:cstheme="minorHAnsi"/>
                <w:sz w:val="18"/>
                <w:szCs w:val="18"/>
              </w:rPr>
              <w:t>zastaw finansowy na prawach do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>, zastaw rejestrowy na przedmiocie kredytowania</w:t>
            </w:r>
            <w:r>
              <w:rPr>
                <w:rFonts w:cstheme="minorHAnsi"/>
                <w:sz w:val="18"/>
                <w:szCs w:val="18"/>
              </w:rPr>
              <w:t xml:space="preserve"> tj. samochodzie-śmieciarce</w:t>
            </w:r>
            <w:r>
              <w:rPr>
                <w:rFonts w:cstheme="minorHAnsi"/>
                <w:sz w:val="18"/>
                <w:szCs w:val="18"/>
              </w:rPr>
              <w:t xml:space="preserve"> nr rej. ST0452M</w:t>
            </w:r>
            <w:r w:rsidRPr="00E941F1">
              <w:rPr>
                <w:rFonts w:cstheme="minorHAnsi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762244">
              <w:rPr>
                <w:rFonts w:cstheme="minorHAnsi"/>
                <w:sz w:val="18"/>
                <w:szCs w:val="18"/>
              </w:rPr>
              <w:t xml:space="preserve">pełnomocnictwo do pobrania środków pieniężnych na rachunkach 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BOŚ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Kredyt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1216,0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05-2023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 xml:space="preserve">pełnomocnictwo do </w:t>
            </w:r>
            <w:r>
              <w:rPr>
                <w:rFonts w:cstheme="minorHAnsi"/>
                <w:sz w:val="18"/>
                <w:szCs w:val="18"/>
              </w:rPr>
              <w:t>pobrania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 xml:space="preserve">, zastaw finansowy na </w:t>
            </w:r>
            <w:r>
              <w:rPr>
                <w:rFonts w:cstheme="minorHAnsi"/>
                <w:sz w:val="18"/>
                <w:szCs w:val="18"/>
              </w:rPr>
              <w:t>prawach do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>, weksel in blanco, zastaw rejestrowy na samochodzie ciężarowym Renault</w:t>
            </w:r>
            <w:r>
              <w:rPr>
                <w:rFonts w:cstheme="minorHAnsi"/>
                <w:sz w:val="18"/>
                <w:szCs w:val="18"/>
              </w:rPr>
              <w:t xml:space="preserve"> nr rej. ST4952J</w:t>
            </w:r>
            <w:r w:rsidRPr="00E941F1">
              <w:rPr>
                <w:rFonts w:cstheme="minorHAnsi"/>
                <w:sz w:val="18"/>
                <w:szCs w:val="18"/>
              </w:rPr>
              <w:t>, naczepie ciężarowej STAS</w:t>
            </w:r>
            <w:r>
              <w:rPr>
                <w:rFonts w:cstheme="minorHAnsi"/>
                <w:sz w:val="18"/>
                <w:szCs w:val="18"/>
              </w:rPr>
              <w:t xml:space="preserve"> nr rej. ST1050H</w:t>
            </w:r>
            <w:r w:rsidRPr="00E941F1">
              <w:rPr>
                <w:rFonts w:cstheme="minorHAnsi"/>
                <w:sz w:val="18"/>
                <w:szCs w:val="18"/>
              </w:rPr>
              <w:t>, na ciągniku samochodowym DAF</w:t>
            </w:r>
            <w:r>
              <w:rPr>
                <w:rFonts w:cstheme="minorHAnsi"/>
                <w:sz w:val="18"/>
                <w:szCs w:val="18"/>
              </w:rPr>
              <w:t xml:space="preserve"> nr rej. ST4858K</w:t>
            </w:r>
            <w:r w:rsidRPr="00E941F1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BOŚ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Kredyt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268,0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12-2022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762244">
              <w:rPr>
                <w:rFonts w:cstheme="minorHAnsi"/>
                <w:sz w:val="18"/>
                <w:szCs w:val="18"/>
              </w:rPr>
              <w:t>pełnomocnictwo do pobrania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 xml:space="preserve">, weksel in blanco, </w:t>
            </w:r>
            <w:r>
              <w:t xml:space="preserve"> </w:t>
            </w:r>
            <w:r w:rsidRPr="00762244">
              <w:rPr>
                <w:rFonts w:cstheme="minorHAnsi"/>
                <w:sz w:val="18"/>
                <w:szCs w:val="18"/>
              </w:rPr>
              <w:t>zastaw finansowy na prawach do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>, zastaw rejestrowy na przedmiocie kredytowania</w:t>
            </w:r>
            <w:r>
              <w:rPr>
                <w:rFonts w:cstheme="minorHAnsi"/>
                <w:sz w:val="18"/>
                <w:szCs w:val="18"/>
              </w:rPr>
              <w:t xml:space="preserve"> tj. ładowarce teleskopowej</w:t>
            </w:r>
            <w:r w:rsidRPr="00E941F1">
              <w:rPr>
                <w:rFonts w:cstheme="minorHAnsi"/>
                <w:sz w:val="18"/>
                <w:szCs w:val="18"/>
              </w:rPr>
              <w:t xml:space="preserve">, 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WFOŚiGW</w:t>
            </w:r>
            <w:proofErr w:type="spellEnd"/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pożyczka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1888,2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05-2030</w:t>
            </w:r>
          </w:p>
        </w:tc>
        <w:tc>
          <w:tcPr>
            <w:tcW w:w="2693" w:type="dxa"/>
          </w:tcPr>
          <w:p w:rsidR="007B3057" w:rsidRPr="00762244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Przelew wierzytelności z rachunku lokaty terminowej 1933100,00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GENERALI UBEZPIECZENIA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Linia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5000,0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02-2019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weksle własne in blanco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C737A4" w:rsidRDefault="007B3057" w:rsidP="007B3057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C737A4">
              <w:rPr>
                <w:rFonts w:cstheme="minorHAnsi"/>
                <w:sz w:val="18"/>
                <w:szCs w:val="18"/>
                <w:lang w:val="en-US"/>
              </w:rPr>
              <w:t xml:space="preserve">Idea </w:t>
            </w:r>
            <w:proofErr w:type="spellStart"/>
            <w:r w:rsidRPr="00C737A4">
              <w:rPr>
                <w:rFonts w:cstheme="minorHAnsi"/>
                <w:sz w:val="18"/>
                <w:szCs w:val="18"/>
                <w:lang w:val="en-US"/>
              </w:rPr>
              <w:t>Getin</w:t>
            </w:r>
            <w:proofErr w:type="spellEnd"/>
            <w:r w:rsidRPr="00C737A4">
              <w:rPr>
                <w:rFonts w:cstheme="minorHAnsi"/>
                <w:sz w:val="18"/>
                <w:szCs w:val="18"/>
                <w:lang w:val="en-US"/>
              </w:rPr>
              <w:t xml:space="preserve"> Leasing S.A.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Leasing operacyjny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03-2019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B3057" w:rsidRPr="00E941F1" w:rsidTr="007B3057">
        <w:tc>
          <w:tcPr>
            <w:tcW w:w="1384" w:type="dxa"/>
          </w:tcPr>
          <w:p w:rsidR="007B3057" w:rsidRPr="00C737A4" w:rsidRDefault="007B3057" w:rsidP="007B3057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C737A4">
              <w:rPr>
                <w:rFonts w:cstheme="minorHAnsi"/>
                <w:sz w:val="18"/>
                <w:szCs w:val="18"/>
                <w:lang w:val="en-US"/>
              </w:rPr>
              <w:t xml:space="preserve">Idea </w:t>
            </w:r>
            <w:proofErr w:type="spellStart"/>
            <w:r w:rsidRPr="00C737A4">
              <w:rPr>
                <w:rFonts w:cstheme="minorHAnsi"/>
                <w:sz w:val="18"/>
                <w:szCs w:val="18"/>
                <w:lang w:val="en-US"/>
              </w:rPr>
              <w:t>Getin</w:t>
            </w:r>
            <w:proofErr w:type="spellEnd"/>
            <w:r w:rsidRPr="00C737A4">
              <w:rPr>
                <w:rFonts w:cstheme="minorHAnsi"/>
                <w:sz w:val="18"/>
                <w:szCs w:val="18"/>
                <w:lang w:val="en-US"/>
              </w:rPr>
              <w:t xml:space="preserve"> Leasing S.A.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Leasing operacyjny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98,4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09-2020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7B3057" w:rsidRDefault="007B3057" w:rsidP="007B3057">
      <w:pPr>
        <w:spacing w:after="0" w:line="240" w:lineRule="auto"/>
        <w:jc w:val="center"/>
        <w:rPr>
          <w:b/>
        </w:rPr>
      </w:pPr>
    </w:p>
    <w:p w:rsidR="0027104A" w:rsidRPr="007B3057" w:rsidRDefault="0027104A" w:rsidP="007B3057"/>
    <w:sectPr w:rsidR="0027104A" w:rsidRPr="007B3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0EE" w:rsidRDefault="009420EE" w:rsidP="007B3057">
      <w:pPr>
        <w:spacing w:after="0" w:line="240" w:lineRule="auto"/>
      </w:pPr>
      <w:r>
        <w:separator/>
      </w:r>
    </w:p>
  </w:endnote>
  <w:endnote w:type="continuationSeparator" w:id="0">
    <w:p w:rsidR="009420EE" w:rsidRDefault="009420EE" w:rsidP="007B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0EE" w:rsidRDefault="009420EE" w:rsidP="007B3057">
      <w:pPr>
        <w:spacing w:after="0" w:line="240" w:lineRule="auto"/>
      </w:pPr>
      <w:r>
        <w:separator/>
      </w:r>
    </w:p>
  </w:footnote>
  <w:footnote w:type="continuationSeparator" w:id="0">
    <w:p w:rsidR="009420EE" w:rsidRDefault="009420EE" w:rsidP="007B3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521DEC"/>
    <w:multiLevelType w:val="hybridMultilevel"/>
    <w:tmpl w:val="37144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9D"/>
    <w:rsid w:val="00095D65"/>
    <w:rsid w:val="0010700A"/>
    <w:rsid w:val="001F4EE7"/>
    <w:rsid w:val="0027104A"/>
    <w:rsid w:val="003369BA"/>
    <w:rsid w:val="00392AA2"/>
    <w:rsid w:val="004E159D"/>
    <w:rsid w:val="005628A9"/>
    <w:rsid w:val="00694006"/>
    <w:rsid w:val="006A0622"/>
    <w:rsid w:val="00762244"/>
    <w:rsid w:val="007B3057"/>
    <w:rsid w:val="008E3049"/>
    <w:rsid w:val="009420EE"/>
    <w:rsid w:val="009D01E0"/>
    <w:rsid w:val="00A17674"/>
    <w:rsid w:val="00C737A4"/>
    <w:rsid w:val="00E237E8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B7294-C67A-4C78-B336-1818C0D3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06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3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0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057"/>
  </w:style>
  <w:style w:type="paragraph" w:styleId="Stopka">
    <w:name w:val="footer"/>
    <w:basedOn w:val="Normalny"/>
    <w:link w:val="StopkaZnak"/>
    <w:uiPriority w:val="99"/>
    <w:unhideWhenUsed/>
    <w:rsid w:val="007B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Kula</dc:creator>
  <cp:lastModifiedBy>Administrator</cp:lastModifiedBy>
  <cp:revision>2</cp:revision>
  <cp:lastPrinted>2018-12-20T11:52:00Z</cp:lastPrinted>
  <dcterms:created xsi:type="dcterms:W3CDTF">2018-12-20T12:09:00Z</dcterms:created>
  <dcterms:modified xsi:type="dcterms:W3CDTF">2018-12-20T12:09:00Z</dcterms:modified>
</cp:coreProperties>
</file>